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Election; bond; vacancies; salaries;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§1-501. ELECTION; BOND; VACANCIES; SALARIES;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