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Expenses of partition</w:t>
      </w:r>
    </w:p>
    <w:p>
      <w:pPr>
        <w:jc w:val="both"/>
        <w:spacing w:before="100" w:after="100"/>
        <w:ind w:start="360"/>
        <w:ind w:firstLine="360"/>
      </w:pPr>
      <w:r>
        <w:rPr/>
      </w:r>
      <w:r>
        <w:rPr/>
      </w:r>
      <w:r>
        <w:t xml:space="preserve">When a partition of real estate is made by order of a judge, the interested parties shall pay the expenses in proportion to their interests.  When expenses accrue prior to the closing order or statement of the personal representative of the deceased owner of such real estate, the personal representative may pay the expenses from the personal representative's account.  In case of neglect or refusal to pay of any person liable to pay such expenses, the judge may issue a warrant of distress against that person for the amount due and costs of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 Expenses of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Expenses of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§1-604. EXPENSES OF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