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ind w:firstLine="360"/>
      </w:pPr>
      <w:r>
        <w:rPr/>
      </w:r>
      <w:r>
        <w:rPr/>
      </w:r>
      <w:r>
        <w:t xml:space="preserve">Unless otherwise specifically stated in statute or in the Rules of Probate Procedure published by the Supreme Judicial Court, the Probate Court shall charge the same fee charged by the District Court or the Superior Court for similar procedures.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§1-608. Fees not established in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Fees not established in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§1-608. FEES NOT ESTABLISHED IN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