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Effect of a pending petition</w:t>
      </w:r>
    </w:p>
    <w:p>
      <w:pPr>
        <w:jc w:val="both"/>
        <w:spacing w:before="100" w:after="100"/>
        <w:ind w:start="360"/>
        <w:ind w:firstLine="360"/>
      </w:pPr>
      <w:r>
        <w:rPr/>
      </w:r>
      <w:r>
        <w:rPr/>
      </w:r>
      <w:r>
        <w:t xml:space="preserve">If a petition to establish parentage under </w:t>
      </w:r>
      <w:r>
        <w:t>Title 19‑A, chapter 61</w:t>
      </w:r>
      <w:r>
        <w:t xml:space="preserve"> or a petition for adoption under </w:t>
      </w:r>
      <w:r>
        <w:t>Article 9</w:t>
      </w:r>
      <w:r>
        <w:t xml:space="preserve"> is pending and has not been finally adjudicated at the time of the petitioner's death, the subject of the petition is considered a child of the petitioner for intestate succession purposes and may inherit from and through the petitioner.  If the subject of the petition dies before a final adjudication of parentage is issued, the petitioner may inherit from or through the subject of the petition only if there is a final adjudication of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§2-116. Effect of a pending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Effect of a pending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§2-116. EFFECT OF A PENDING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