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2-118</w:t>
        <w:t xml:space="preserve">.  </w:t>
      </w:r>
      <w:r>
        <w:rPr>
          <w:b/>
        </w:rPr>
        <w:t xml:space="preserve">Child born after death of parent</w:t>
      </w:r>
    </w:p>
    <w:p>
      <w:pPr>
        <w:jc w:val="both"/>
        <w:spacing w:before="100" w:after="100"/>
        <w:ind w:start="360"/>
        <w:ind w:firstLine="360"/>
      </w:pPr>
      <w:r>
        <w:rPr/>
      </w:r>
      <w:r>
        <w:rPr/>
      </w:r>
      <w:r>
        <w:t xml:space="preserve">An individual is a parent of a child who is born after the individual's death, if the child is: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 utero.</w:t>
        <w:t xml:space="preserve"> </w:t>
      </w:r>
      <w:r>
        <w:t xml:space="preserve"> </w:t>
      </w:r>
      <w:r>
        <w:t xml:space="preserve">In utero not later than 36 months after the individual's death;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Born.</w:t>
        <w:t xml:space="preserve"> </w:t>
      </w:r>
      <w:r>
        <w:t xml:space="preserve"> </w:t>
      </w:r>
      <w:r>
        <w:t xml:space="preserve">Born not later than 45 months after the individual's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§2-118. Child born after death of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§2-118. Child born after death of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§2-118. CHILD BORN AFTER DEATH OF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