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Self-proved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Self-proved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§2-503. SELF-PROVED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