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0"/>
        <w:ind w:start="360"/>
        <w:ind w:firstLine="360"/>
      </w:pPr>
      <w:r>
        <w:rPr>
          <w:b/>
        </w:rPr>
        <w:t>1</w:t>
        <w:t xml:space="preserve">.  </w:t>
      </w:r>
      <w:r>
        <w:rPr>
          <w:b/>
        </w:rPr>
        <w:t xml:space="preserve">Formal proceedings terminating administration.</w:t>
        <w:t xml:space="preserve"> </w:t>
      </w:r>
      <w:r>
        <w:t xml:space="preserve"> </w:t>
      </w:r>
      <w:r>
        <w:t xml:space="preserve">A personal representative or any interested person may petition for an order of complete settlement of the estate.  The personal representative may petition at any time and any other interested person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determine testacy, if not previously determined, to consider the final account or compel or approve an accounting and distribution, to construe any will or determine heirs and to adjudicate the final settlement and distribution of the estate.  After notice to all interested persons and hearing, the court may enter an order or orders on appropriate conditions, determining the persons entitled to distribution of the estate and, as circumstances require, approving settlement and directing or approving distribution of the estate and discharging the personal representative from further claim or demand of any interested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Omitted parties.</w:t>
        <w:t xml:space="preserve"> </w:t>
      </w:r>
      <w:r>
        <w:t xml:space="preserve"> </w:t>
      </w:r>
      <w:r>
        <w:t xml:space="preserve">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§3-1001. FORMAL PROCEEDINGS TERMINATING ADMINISTRATION; TESTATE OR INTESTATE; ORDER OF GENERAL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