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ind w:firstLine="360"/>
      </w:pPr>
      <w:r>
        <w:rPr/>
      </w:r>
      <w:r>
        <w:rPr/>
      </w:r>
      <w:r>
        <w:t xml:space="preserve">After assets of an estate have been distributed and subject to </w:t>
      </w:r>
      <w:r>
        <w:t>section 3‑1006</w:t>
      </w:r>
      <w:r>
        <w:t xml:space="preserve">, an undischarged claim not barred may be prosecuted in a proceeding against one or more distributees.  A distributee is not liable to claimants for amounts received as exempt property or homestead or family allowances or for amounts in excess of the value of the distribution as of the time of distribution.  As between distributees, each bears the cost of satisfaction of unbarred claims as if the claim had been satisfied in the course of administration.  Any distributee who fails to notify other distributees of the demand made by the claimant in sufficient time to permit them to join in any proceeding in which the claim was asserted loses the right of contribution against other distributees.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§3-1004. LIABILITY OF DISTRIBUTEES TO CLAIMANTS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