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ind w:firstLine="360"/>
      </w:pPr>
      <w:r>
        <w:rPr/>
      </w:r>
      <w:r>
        <w:rPr/>
      </w:r>
      <w:r>
        <w:t xml:space="preserve">Except as provided in </w:t>
      </w:r>
      <w:r>
        <w:t>section 3‑1201</w:t>
      </w:r>
      <w:r>
        <w:t xml:space="preserve">, to be effective to prove the transfer of any property or to nominate an executor, a will must be declared to be valid by an order of informal probate by the registers or an adjudication of probate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§3-102. NECESSITY OF ORDER OF PROBATE FOR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