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application for informal probate to any person demanding notice pursuant to </w:t>
      </w:r>
      <w:r>
        <w:t>section 3‑204</w:t>
      </w:r>
      <w:r>
        <w:t xml:space="preserve">, to an heir, devisee or personal representative who has not waived notice in a writing filed with the court and to any personal representative of the decedent whose appointment has not been terminated.  If the decedent was 55 years of age or older, the moving party shall give notice as described in </w:t>
      </w:r>
      <w:r>
        <w:t>section 1‑401</w:t>
      </w:r>
      <w:r>
        <w:t xml:space="preserve"> to the Department of Health and Human Services.  Except as provided in </w:t>
      </w:r>
      <w:r>
        <w:t>section 3‑705</w:t>
      </w:r>
      <w:r>
        <w:t xml:space="preserve">, no other notice of informal probate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§3-306. Informal probate;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§3-306. INFORMAL PROBATE;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