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Formal testacy or appointment proceedings;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§3-402. FORMAL TESTACY OR APPOINTMENT PROCEEDINGS;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