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Supervised administration; powers of personal representative</w:t>
      </w:r>
    </w:p>
    <w:p>
      <w:pPr>
        <w:jc w:val="both"/>
        <w:spacing w:before="100" w:after="100"/>
        <w:ind w:start="360"/>
        <w:ind w:firstLine="360"/>
      </w:pPr>
      <w:r>
        <w:rPr/>
      </w:r>
      <w:r>
        <w:rPr/>
      </w:r>
      <w:r>
        <w:t xml:space="preserve">Unless restricted by the court, a supervised personal representative has, without interim orders approving exercise of a power, all powers of personal representatives under this Code, but the personal representative may not exercise the power to make any distribution of the estate without prior order of the court.  Any other restriction on the power of a personal representative that is ordered by the court must be endorsed on the personal representative's letters of appointment and, unless so endorsed, is ineffective as to persons dealing in good faith with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§3-504. Supervised administration; powers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Supervised administration; powers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§3-504. SUPERVISED ADMINISTRATION; POWERS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