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Special administrator; who may be appointed</w:t>
      </w:r>
    </w:p>
    <w:p>
      <w:pPr>
        <w:jc w:val="both"/>
        <w:spacing w:before="100" w:after="0"/>
        <w:ind w:start="360"/>
        <w:ind w:firstLine="360"/>
      </w:pPr>
      <w:r>
        <w:rPr>
          <w:b/>
        </w:rPr>
        <w:t>1</w:t>
        <w:t xml:space="preserve">.  </w:t>
      </w:r>
      <w:r>
        <w:rPr>
          <w:b/>
        </w:rPr>
        <w:t xml:space="preserve">Named executor, if available.</w:t>
        <w:t xml:space="preserve"> </w:t>
      </w:r>
      <w:r>
        <w:t xml:space="preserve"> </w:t>
      </w:r>
      <w:r>
        <w:t xml:space="preserve">If a special administrator is to be appointed pending the probate of a will that is the subject of a pending application or petition for probate, the person named executor in the will must be appointed if available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Any proper person.</w:t>
        <w:t xml:space="preserve"> </w:t>
      </w:r>
      <w:r>
        <w:t xml:space="preserve"> </w:t>
      </w:r>
      <w:r>
        <w:t xml:space="preserve">In cases other than those set out in </w:t>
      </w:r>
      <w:r>
        <w:t>subsection 1</w:t>
      </w:r>
      <w:r>
        <w:t xml:space="preserve">, any proper person may be appointed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§3-615. SPECIAL ADMINISTRATOR; WHO MAY BE APPOINTED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