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Practice in court</w:t>
      </w:r>
    </w:p>
    <w:p>
      <w:pPr>
        <w:jc w:val="both"/>
        <w:spacing w:before="100" w:after="0"/>
        <w:ind w:start="360"/>
        <w:ind w:firstLine="360"/>
      </w:pPr>
      <w:r>
        <w:rPr>
          <w:b/>
        </w:rPr>
        <w:t>1</w:t>
        <w:t xml:space="preserve">.  </w:t>
      </w:r>
      <w:r>
        <w:rPr>
          <w:b/>
        </w:rPr>
        <w:t xml:space="preserve">Rules.</w:t>
        <w:t xml:space="preserve"> </w:t>
      </w:r>
      <w:r>
        <w:t xml:space="preserve"> </w:t>
      </w:r>
      <w:r>
        <w:t xml:space="preserve">Except as otherwise provided in this Act, the Maine Rules of Probate Procedure, the Maine Rules of Civil Procedure and the Maine Rules of Evidence, including rules concerning appellate review, govern a proceeding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Consolidation.</w:t>
        <w:t xml:space="preserve"> </w:t>
      </w:r>
      <w:r>
        <w:t xml:space="preserve"> </w:t>
      </w:r>
      <w:r>
        <w:t xml:space="preserve">If proceedings under this Act for the same individual are commenced or pending in the same court, the proceedings may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§5-107. Practice in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Practice in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§5-107. PRACTICE IN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