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Emergency guardian</w:t>
      </w:r>
    </w:p>
    <w:p>
      <w:pPr>
        <w:jc w:val="both"/>
        <w:spacing w:before="100" w:after="100"/>
        <w:ind w:start="360"/>
        <w:ind w:firstLine="360"/>
      </w:pPr>
      <w:r>
        <w:rPr>
          <w:b/>
        </w:rPr>
        <w:t>1</w:t>
        <w:t xml:space="preserve">.  </w:t>
      </w:r>
      <w:r>
        <w:rPr>
          <w:b/>
        </w:rPr>
        <w:t xml:space="preserve">Basis for emergency guardianship.</w:t>
        <w:t xml:space="preserve"> </w:t>
      </w:r>
      <w:r>
        <w:t xml:space="preserve"> </w:t>
      </w:r>
      <w:r>
        <w:t xml:space="preserve">On petition by a person interested in an adult's welfare or on its own after a petition has been filed under </w:t>
      </w:r>
      <w:r>
        <w:t>section 5‑302</w:t>
      </w:r>
      <w:r>
        <w:t xml:space="preserve">, the court may appoint an emergency guardian for the adult if the court finds:</w:t>
      </w:r>
    </w:p>
    <w:p>
      <w:pPr>
        <w:jc w:val="both"/>
        <w:spacing w:before="100" w:after="0"/>
        <w:ind w:start="720"/>
      </w:pPr>
      <w:r>
        <w:rPr/>
        <w:t>A</w:t>
        <w:t xml:space="preserve">.  </w:t>
      </w:r>
      <w:r>
        <w:rPr/>
      </w:r>
      <w:r>
        <w:t xml:space="preserve">Appointment of an emergency guardian is likely to prevent substantial harm to the adult's physical health, safety or welfare.</w:t>
      </w:r>
    </w:p>
    <w:p>
      <w:pPr>
        <w:jc w:val="both"/>
        <w:spacing w:before="100" w:after="0"/>
        <w:ind w:start="720"/>
      </w:pPr>
      <w:r>
        <w:rPr/>
      </w:r>
      <w:r>
        <w:rPr/>
      </w:r>
      <w:r>
        <w:t xml:space="preserve">For purposes of this paragraph, the delay of discharge of a patient in a hospital until the appointment of a guardian constitutes substantial harm;</w:t>
      </w:r>
      <w:r>
        <w:t xml:space="preserve">  </w:t>
      </w:r>
      <w:r xmlns:wp="http://schemas.openxmlformats.org/drawingml/2010/wordprocessingDrawing" xmlns:w15="http://schemas.microsoft.com/office/word/2012/wordml">
        <w:rPr>
          <w:rFonts w:ascii="Arial" w:hAnsi="Arial" w:cs="Arial"/>
          <w:sz w:val="22"/>
          <w:szCs w:val="22"/>
        </w:rPr>
        <w:t xml:space="preserve">[PL 2021, c. 463, §1 (AMD).]</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guardian under </w:t>
      </w:r>
      <w:r>
        <w:t>section 5‑301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463, §1 (AMD).]</w:t>
      </w:r>
    </w:p>
    <w:p>
      <w:pPr>
        <w:jc w:val="both"/>
        <w:spacing w:before="100" w:after="0"/>
        <w:ind w:start="360"/>
        <w:ind w:firstLine="360"/>
      </w:pPr>
      <w:r>
        <w:rPr>
          <w:b/>
        </w:rPr>
        <w:t>2</w:t>
        <w:t xml:space="preserve">.  </w:t>
      </w:r>
      <w:r>
        <w:rPr>
          <w:b/>
        </w:rPr>
        <w:t xml:space="preserve">Limited time and powers.</w:t>
        <w:t xml:space="preserve"> </w:t>
      </w:r>
      <w:r>
        <w:t xml:space="preserve"> </w:t>
      </w:r>
      <w:r>
        <w:t xml:space="preserve">The duration of authority of an emergency guardian for an adult may not exceed 60 days and the emergency guardian may exercise only the powers specified in the order.  The emergency guardian's authority may be extended once for not more than 120 days if the court finds that the conditions for appointment of an emergency guardian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5‑303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§37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§37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guardian for an adult without notice and a hearing only if the court finds from an affidavit or testimony that the respondent will be substantially harmed before a hearing on the appointment can be held.  If the court appoints an emergency guardian without notice and a hearing, the court shall, not later than 48 hours after the appointment, notify the respondent, the respondent's attorney and any other person as the court determines of the appointment.  If the respondent objects to the appointment, the court shall hold a hearing within 14 days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5‑306</w:t>
      </w:r>
      <w:r>
        <w:t xml:space="preserve"> is not required before the appointment of an emergency guardian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§38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guardian under this section is not a determination that the conditions required for appointment of a guardian under </w:t>
      </w:r>
      <w:r>
        <w:t>section 5‑301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guardian appointed under this section at any time.  The emergency guardian shall make any report the court requires.  In other respects, the provisions of this Act concerning guardians apply to an emergency guardian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§§37, 38 (AMD). PL 2019, c. 417, Pt. B, §14 (AFF). PL 2021, c. 463,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§5-312. Emergency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Emergency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§5-312. EMERGENCY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