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§5-318. Removal of guardian for adult; appointment of successor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§5-318. Removal of guardian for adult; appointment of successor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§5-318. REMOVAL OF GUARDIAN FOR ADULT; APPOINTMENT OF SUCCESSOR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