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5-622</w:t>
        <w:t xml:space="preserve">.  </w:t>
      </w:r>
      <w:r>
        <w:rPr>
          <w:b/>
        </w:rPr>
        <w:t xml:space="preserve">Exclusive basis</w:t>
      </w:r>
    </w:p>
    <w:p>
      <w:pPr>
        <w:jc w:val="both"/>
        <w:spacing w:before="100" w:after="100"/>
        <w:ind w:start="360"/>
        <w:ind w:firstLine="360"/>
      </w:pPr>
      <w:r>
        <w:rPr/>
      </w:r>
      <w:r>
        <w:rPr/>
      </w:r>
      <w:r>
        <w:t xml:space="preserve">This subpart provides the exclusive jurisdictional basis for a court of this State to appoint a guardian or issue a protective order for an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§5-622. Exclusive basis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§5-622. Exclusive basis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§5-622. EXCLUSIVE BASIS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