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6-224</w:t>
        <w:t xml:space="preserve">.  </w:t>
      </w:r>
      <w:r>
        <w:rPr>
          <w:b/>
        </w:rPr>
        <w:t xml:space="preserve">Payment to designated agent</w:t>
      </w:r>
    </w:p>
    <w:p>
      <w:pPr>
        <w:jc w:val="both"/>
        <w:spacing w:before="100" w:after="100"/>
        <w:ind w:start="360"/>
        <w:ind w:firstLine="360"/>
      </w:pPr>
      <w:r>
        <w:rPr/>
      </w:r>
      <w:r>
        <w:rPr/>
      </w:r>
      <w:r>
        <w:t xml:space="preserve">A financial institution, on request of an agent under an agency designation for an account, may pay to the agent sums on deposit in the account, whether or not a party is disabled, incapacitated or deceased when the request is made or received and whether or not the authority of the agent terminates on the disability or incapacity of a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§6-224. Payment to designated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§6-224. Payment to designated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§6-224. PAYMENT TO DESIGNATED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