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6-304</w:t>
        <w:t xml:space="preserve">.  </w:t>
      </w:r>
      <w:r>
        <w:rPr>
          <w:b/>
        </w:rPr>
        <w:t xml:space="preserve">Origination of registration in beneficiary form</w:t>
      </w:r>
    </w:p>
    <w:p>
      <w:pPr>
        <w:jc w:val="both"/>
        <w:spacing w:before="100" w:after="100"/>
        <w:ind w:start="360"/>
        <w:ind w:firstLine="360"/>
      </w:pPr>
      <w:r>
        <w:rPr/>
      </w:r>
      <w:r>
        <w:rPr/>
      </w:r>
      <w:r>
        <w:t xml:space="preserve">A security, whether evidenced by certificate or account, is registered in beneficiary form when the registration includes a designation of a beneficiary to take the ownership at the death of the owner or the deaths of all multiple owners.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§6-304. Origination of registration in beneficiary form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§6-304. Origination of registration in beneficiary form</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§6-304. ORIGINATION OF REGISTRATION IN BENEFICIARY FORM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