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6-305</w:t>
        <w:t xml:space="preserve">.  </w:t>
      </w:r>
      <w:r>
        <w:rPr>
          <w:b/>
        </w:rPr>
        <w:t xml:space="preserve">Form of registration in beneficiary form</w:t>
      </w:r>
    </w:p>
    <w:p>
      <w:pPr>
        <w:jc w:val="both"/>
        <w:spacing w:before="100" w:after="100"/>
        <w:ind w:start="360"/>
        <w:ind w:firstLine="360"/>
      </w:pPr>
      <w:r>
        <w:rPr/>
      </w:r>
      <w:r>
        <w:rPr/>
      </w:r>
      <w:r>
        <w:t xml:space="preserve">Registration in beneficiary form may be shown by the words "transfer on death" or the abbreviation "TOD," or by the words "pay on death" or the abbreviation "POD," after the name of the registered owner and before the name of a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§6-305. Form of registration in beneficiary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§6-305. Form of registration in beneficiary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§6-305. FORM OF REGISTRATION IN BENEFICIARY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