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Ownership on death of owner</w:t>
      </w:r>
    </w:p>
    <w:p>
      <w:pPr>
        <w:jc w:val="both"/>
        <w:spacing w:before="100" w:after="100"/>
        <w:ind w:start="360"/>
        <w:ind w:firstLine="360"/>
      </w:pPr>
      <w:r>
        <w:rPr/>
      </w:r>
      <w:r>
        <w:rPr/>
      </w:r>
      <w:r>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§6-307. Ownership on death of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Ownership on death of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§6-307. OWNERSHIP ON DEATH OF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