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6-410</w:t>
        <w:t xml:space="preserve">.  </w:t>
      </w:r>
      <w:r>
        <w:rPr>
          <w:b/>
        </w:rPr>
        <w:t xml:space="preserve">Notice, delivery, acceptance, consideration not required</w:t>
      </w:r>
    </w:p>
    <w:p>
      <w:pPr>
        <w:jc w:val="both"/>
        <w:spacing w:before="100" w:after="100"/>
        <w:ind w:start="360"/>
        <w:ind w:firstLine="360"/>
      </w:pPr>
      <w:r>
        <w:rPr/>
      </w:r>
      <w:r>
        <w:rPr/>
      </w:r>
      <w:r>
        <w:t xml:space="preserve">A transfer on death deed is effective without: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Notice, delivery or acceptance.</w:t>
        <w:t xml:space="preserve"> </w:t>
      </w:r>
      <w:r>
        <w:t xml:space="preserve"> </w:t>
      </w:r>
      <w:r>
        <w:t xml:space="preserve">Notice or delivery to or acceptance by the designated beneficiary during the transferor's life;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Consideration.</w:t>
        <w:t xml:space="preserve"> </w:t>
      </w:r>
      <w:r>
        <w:t xml:space="preserve"> </w:t>
      </w:r>
      <w:r>
        <w:t xml:space="preserve">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§6-410. Notice, delivery, acceptance, consideration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§6-410. Notice, delivery, acceptance, consideration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§6-410. NOTICE, DELIVERY, ACCEPTANCE, CONSIDERATION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