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§7-432. APPORTIONMENT OF RECEIPTS AND DISBURSEMENTS WHEN DECEDENT DIES OR INCOME INTEREST BEGINS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