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7-464</w:t>
        <w:t xml:space="preserve">.  </w:t>
      </w:r>
      <w:r>
        <w:rPr>
          <w:b/>
        </w:rPr>
        <w:t xml:space="preserve">Transfers from income to reimburse principal</w:t>
      </w:r>
    </w:p>
    <w:p>
      <w:pPr>
        <w:jc w:val="both"/>
        <w:spacing w:before="100" w:after="0"/>
        <w:ind w:start="360"/>
        <w:ind w:firstLine="360"/>
      </w:pPr>
      <w:r>
        <w:rPr>
          <w:b/>
        </w:rPr>
        <w:t>1</w:t>
        <w:t xml:space="preserve">.  </w:t>
      </w:r>
      <w:r>
        <w:rPr>
          <w:b/>
        </w:rPr>
        <w:t xml:space="preserve">Transfer to reimburse or provide reserve.</w:t>
        <w:t xml:space="preserve"> </w:t>
      </w:r>
      <w:r>
        <w:t xml:space="preserve"> </w:t>
      </w:r>
      <w:r>
        <w:t xml:space="preserve">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Applicable principal disbursement.</w:t>
        <w:t xml:space="preserve"> </w:t>
      </w:r>
      <w:r>
        <w:t xml:space="preserve"> </w:t>
      </w:r>
      <w:r>
        <w:t xml:space="preserve">Principal disbursements to which </w:t>
      </w:r>
      <w:r>
        <w:t>subsection 1</w:t>
      </w:r>
      <w:r>
        <w:t xml:space="preserve"> applies include the following, but only to the extent that the trustee has not been and does not expect to be reimbursed by a 3rd party:</w:t>
      </w:r>
    </w:p>
    <w:p>
      <w:pPr>
        <w:jc w:val="both"/>
        <w:spacing w:before="100" w:after="0"/>
        <w:ind w:start="720"/>
      </w:pPr>
      <w:r>
        <w:rPr/>
        <w:t>A</w:t>
        <w:t xml:space="preserve">.  </w:t>
      </w:r>
      <w:r>
        <w:rPr/>
      </w:r>
      <w:r>
        <w:t xml:space="preserve">An amount chargeable to income but paid from principal because it is unusually large, including extraordinary repairs;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capital improvement to a principal asset, whether in the form of changes to an existing asset or the construction of a new asset, including special assessments;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Disbursements made to prepare property for rental, including tenant allowances, leasehold improvements and broker's commissions;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Periodic payments on an obligation secured by a principal asset to the extent that the amount transferred from income to principal for depreciation is less than the periodic payments;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Disbursements described in </w:t>
      </w:r>
      <w:r>
        <w:t>section 7‑462,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If the asset whose ownership gives rise to the disbursements becomes subject to a successive income interest after an income interest ends, a trustee may continue to transfer amounts from income to principal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§7-464. Transfers from income to reimburse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§7-464. Transfers from income to reimburse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§7-464. TRANSFERS FROM INCOME TO REIMBURSE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