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8-106</w:t>
        <w:t xml:space="preserve">.  </w:t>
      </w:r>
      <w:r>
        <w:rPr>
          <w:b/>
        </w:rPr>
        <w:t xml:space="preserve">Possession by receiver</w:t>
      </w:r>
    </w:p>
    <w:p>
      <w:pPr>
        <w:jc w:val="both"/>
        <w:spacing w:before="100" w:after="100"/>
        <w:ind w:start="360"/>
        <w:ind w:firstLine="360"/>
      </w:pPr>
      <w:r>
        <w:rPr/>
      </w:r>
      <w:r>
        <w:rPr/>
      </w:r>
      <w:r>
        <w:t xml:space="preserve">After approval of a bond under </w:t>
      </w:r>
      <w:r>
        <w:t>section 8‑105</w:t>
      </w:r>
      <w:r>
        <w:t xml:space="preserve">, the court may order the public administrator to transfer and deliver to the receiver possession of the property under the warrant.  The receiver shall file a schedule of the property received in the registry of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§8-106. Possession by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§8-106. POSSESSION BY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