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8-107</w:t>
        <w:t xml:space="preserve">.  </w:t>
      </w:r>
      <w:r>
        <w:rPr>
          <w:b/>
        </w:rPr>
        <w:t xml:space="preserve">Collection of debts</w:t>
      </w:r>
    </w:p>
    <w:p>
      <w:pPr>
        <w:jc w:val="both"/>
        <w:spacing w:before="100" w:after="100"/>
        <w:ind w:start="360"/>
        <w:ind w:firstLine="360"/>
      </w:pPr>
      <w:r>
        <w:rPr/>
      </w:r>
      <w:r>
        <w:rPr/>
      </w:r>
      <w:r>
        <w:t xml:space="preserve">In addition to property transferred to the receiver under </w:t>
      </w:r>
      <w:r>
        <w:t>section 8‑106</w:t>
      </w:r>
      <w:r>
        <w:t xml:space="preserve">, the receiver shall take possession of any other property within the State that belongs to the absentee and demand and collect all debts due the absentee from any person in the State and hold the same as if it had been transferred and delivered to the receiver by the public administrator.  If the receiver takes any additional real estate, the receiver shall file a certificate describing the real estate with the register of deeds for the county where the real estate is located.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§8-107. Collection of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§8-107. Collection of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§8-107. COLLECTION OF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