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Discharge of surety</w:t>
      </w:r>
    </w:p>
    <w:p>
      <w:pPr>
        <w:jc w:val="both"/>
        <w:spacing w:before="100" w:after="100"/>
        <w:ind w:start="360"/>
        <w:ind w:firstLine="360"/>
      </w:pPr>
      <w:r>
        <w:rPr/>
      </w:r>
      <w:r>
        <w:rPr/>
      </w:r>
      <w:r>
        <w:t xml:space="preserve">On application of any surety or principal of a bond under this Part, the court, after notice to all parties interested, may discharge the surety or sureties from all liability for any subsequent breach but not for any prior breaches and may require a new bond of the principal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 Discharge of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Discharge of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§8-206. DISCHARGE OF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