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8-215</w:t>
        <w:t xml:space="preserve">.  </w:t>
      </w:r>
      <w:r>
        <w:rPr>
          <w:b/>
        </w:rPr>
        <w:t xml:space="preserve">Judgment in trust for all interested</w:t>
      </w:r>
    </w:p>
    <w:p>
      <w:pPr>
        <w:jc w:val="both"/>
        <w:spacing w:before="100" w:after="100"/>
        <w:ind w:start="360"/>
        <w:ind w:firstLine="360"/>
      </w:pPr>
      <w:r>
        <w:rPr/>
      </w:r>
      <w:r>
        <w:rPr/>
      </w:r>
      <w:r>
        <w:t xml:space="preserve">Every judgment and execution in an action on the bond must be recovered by the court in trust for all interested parties.  The judge shall order the delinquent fiduciary, if still in office, to account for the amount or to assign the amount to the fiduciary's successor to be collected and distributed or otherwise disposed of as assets.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§8-215. Judgment in trust for all interested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§8-215. Judgment in trust for all interested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§8-215. JUDGMENT IN TRUST FOR ALL INTERESTED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