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ind w:firstLine="360"/>
      </w:pPr>
      <w:r>
        <w:rPr/>
      </w:r>
      <w:r>
        <w:rPr/>
      </w:r>
      <w:r>
        <w:t xml:space="preserve">A person, including an agent of the department, who participates in good faith in reporting violations of this Article or participates in a related child protection investigation or proceeding is immune from any criminal or civil liability for reporting or participating in the investigation or proceeding.  For purposes of this section, "good faith" does not include instances when a false report is made and the person knows the report is false.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§9-314. Immunity from liability for good faith reporting;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Immunity from liability for good faith reporting;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§9-314. IMMUNITY FROM LIABILITY FOR GOOD FAITH REPORTING;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