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221. LICENSE TO SELL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