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§3304. APPEAL BY ADMINISTRATOR, HEIR OR CREDITOR, CLAIMANT MAY APPLY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