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w:t>
        <w:t xml:space="preserve">.  </w:t>
      </w:r>
      <w:r>
        <w:rPr>
          <w:b/>
        </w:rPr>
        <w:t xml:space="preserve">Statewide jurisdiction</w:t>
      </w:r>
    </w:p>
    <w:p>
      <w:pPr>
        <w:jc w:val="both"/>
        <w:spacing w:before="100" w:after="100"/>
        <w:ind w:start="360"/>
        <w:ind w:firstLine="360"/>
      </w:pPr>
      <w:r>
        <w:rPr/>
      </w:r>
      <w:r>
        <w:rPr/>
      </w:r>
      <w:r>
        <w:t xml:space="preserve">In child support and paternity cases, the jurisdiction of the District Court and the department extends to all parts of the State.  Once an action has been commenced, a case may be transferred between local jurisdictions in the State without need for an additional filing by the petitioner or service of process on the respondent to retain jurisdiction over the parties.</w:t>
      </w:r>
      <w:r>
        <w:t xml:space="preserve">  </w:t>
      </w:r>
      <w:r xmlns:wp="http://schemas.openxmlformats.org/drawingml/2010/wordprocessingDrawing" xmlns:w15="http://schemas.microsoft.com/office/word/2012/wordml">
        <w:rPr>
          <w:rFonts w:ascii="Arial" w:hAnsi="Arial" w:cs="Arial"/>
          <w:sz w:val="22"/>
          <w:szCs w:val="22"/>
        </w:rPr>
        <w:t xml:space="preserve">[PL 1999, c. 731, Pt. ZZZ, §31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§15 (NEW). PL 1997, c. 537, §62 (AFF). PL 1999, c. 731, §ZZZ31 (AMD). PL 1999, c. 731, §ZZZ42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§1510. Statewide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 Statewide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§1510. STATEWIDE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