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§1606. Court orders;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Court orders;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§1606. COURT ORDERS;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