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1655</w:t>
        <w:t xml:space="preserve">.  </w:t>
      </w:r>
      <w:r>
        <w:rPr>
          <w:b/>
        </w:rPr>
        <w:t xml:space="preserve">Support and maintenance when parental rights and responsibilities or contact awarded to agency or person other than parent</w:t>
      </w:r>
    </w:p>
    <w:p>
      <w:pPr>
        <w:jc w:val="both"/>
        <w:spacing w:before="100" w:after="0"/>
        <w:ind w:start="360"/>
        <w:ind w:firstLine="360"/>
      </w:pPr>
      <w:r>
        <w:rPr>
          <w:b/>
        </w:rPr>
        <w:t>1</w:t>
        <w:t xml:space="preserve">.  </w:t>
      </w:r>
      <w:r>
        <w:rPr>
          <w:b/>
        </w:rPr>
        <w:t xml:space="preserve">Department granted parental rights and responsibilities or contact awarded.</w:t>
        <w:t xml:space="preserve"> </w:t>
      </w:r>
      <w:r>
        <w:t xml:space="preserve"> </w:t>
      </w:r>
      <w:r>
        <w:t xml:space="preserve">When the department has been granted parental rights and responsibilities for a child under this chapter, </w:t>
      </w:r>
      <w:r>
        <w:t>Title 22, chapter 1071</w:t>
      </w:r>
      <w:r>
        <w:t xml:space="preserve"> applies regarding subsequent reviews and governs further rights and responsibilities of the department, the parents, the child and any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Modification of orders.</w:t>
        <w:t xml:space="preserve"> </w:t>
      </w:r>
      <w:r>
        <w:t xml:space="preserve"> </w:t>
      </w:r>
      <w:r>
        <w:t xml:space="preserve">Upon the motion of an agency or person who has been granted parental rights and responsibilities or contact with respect to a child under this chapter, the court may alter its order concerning parental rights and responsibilities or contact with respect to a minor child as circumstances require in accordance with </w:t>
      </w:r>
      <w:r>
        <w:t>section 1657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Support of child committed to agency.</w:t>
        <w:t xml:space="preserve"> </w:t>
      </w:r>
      <w:r>
        <w:t xml:space="preserve"> </w:t>
      </w:r>
      <w:r>
        <w:t xml:space="preserve">When a child under 17 years of age is committed by the District Court, or the District Court acting as a Juvenile Court, to custody other than that of the child's parent, that commitment is subject to </w:t>
      </w:r>
      <w:r>
        <w:t>Title 22, sections 4038</w:t>
      </w:r>
      <w:r>
        <w:t xml:space="preserve">, </w:t>
      </w:r>
      <w:r>
        <w:t>4061</w:t>
      </w:r>
      <w:r>
        <w:t xml:space="preserve"> and </w:t>
      </w:r>
      <w:r>
        <w:t>4063</w:t>
      </w:r>
      <w:r>
        <w:t xml:space="preserve">.  The court may, after giving a parent a reasonable opportunity to be heard, adjudge that the parent shall pay, in a manner as the court may direct, a sum that covers in whole or in part the support of that child.  If that parent fails to pay that sum, that parent may be proceeded against as provided in </w:t>
      </w:r>
      <w:r>
        <w:t>chapter 65</w:t>
      </w:r>
      <w:r>
        <w:t xml:space="preserve">.  A determination or modification of child support under this section must comply with </w:t>
      </w:r>
      <w:r>
        <w:t>chapter 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§1655. Support and maintenance when parental rights and responsibilities or contact awarded to agency or person other than parent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§1655. Support and maintenance when parental rights and responsibilities or contact awarded to agency or person other than parent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§1655. SUPPORT AND MAINTENANCE WHEN PARENTAL RIGHTS AND RESPONSIBILITIES OR CONTACT AWARDED TO AGENCY OR PERSON OTHER THAN PARENT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