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§1749. Notice; opportunity to be heard; joinder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Notice; opportunity to be heard; joinder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§1749. NOTICE; OPPORTUNITY TO BE HEARD; JOINDER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