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§1926. Effect of dissolution of marriage or withdrawal of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§1926. EFFECT OF DISSOLUTION OF MARRIAGE OR WITHDRAWAL OF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