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1934</w:t>
        <w:t xml:space="preserve">.  </w:t>
      </w:r>
      <w:r>
        <w:rPr>
          <w:b/>
        </w:rPr>
        <w:t xml:space="preserve">Birth orders</w:t>
      </w:r>
    </w:p>
    <w:p>
      <w:pPr>
        <w:jc w:val="both"/>
        <w:spacing w:before="100" w:after="100"/>
        <w:ind w:start="360"/>
        <w:ind w:firstLine="360"/>
      </w:pPr>
      <w:r>
        <w:rPr>
          <w:b/>
        </w:rPr>
        <w:t>1</w:t>
        <w:t xml:space="preserve">.  </w:t>
      </w:r>
      <w:r>
        <w:rPr>
          <w:b/>
        </w:rPr>
        <w:t xml:space="preserve">Action for birth order.</w:t>
        <w:t xml:space="preserve"> </w:t>
      </w:r>
      <w:r>
        <w:t xml:space="preserve"> </w:t>
      </w:r>
      <w:r>
        <w:t xml:space="preserve">Pursuant to a valid gestational carrier agreement under this subchapter, before or after the birth of the resulting child a party to the gestational carrier agreement may commence a proceeding in District Court to obtain an order:</w:t>
      </w:r>
    </w:p>
    <w:p>
      <w:pPr>
        <w:jc w:val="both"/>
        <w:spacing w:before="100" w:after="0"/>
        <w:ind w:start="720"/>
      </w:pPr>
      <w:r>
        <w:rPr/>
        <w:t>A</w:t>
        <w:t xml:space="preserve">.  </w:t>
      </w:r>
      <w:r>
        <w:rPr/>
      </w:r>
      <w:r>
        <w:t xml:space="preserve">Designating the contents of the birth certificate in accordance with </w:t>
      </w:r>
      <w:r>
        <w:t>Title 22, section 2761</w:t>
      </w:r>
      <w:r>
        <w:t xml:space="preserve"> and directing the Office of Data, Research and Vital Statistics to designate the intended parent or parents as the parent or parents of the child.  The State Registrar of Vital Statistics may charge a reasonable fee for the issuance of a birth certificate;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§1934. Birth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§1934. Birth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§1934. BIRTH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