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§1936. Termination of gestational carrier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§1936. Termination of gestational carrier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§1936. TERMINATION OF GESTATIONAL CARRIER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