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w:t>
        <w:t xml:space="preserve">.  </w:t>
      </w:r>
      <w:r>
        <w:rPr>
          <w:b/>
        </w:rPr>
        <w:t xml:space="preserve">Child support table established</w:t>
      </w:r>
    </w:p>
    <w:p>
      <w:pPr>
        <w:jc w:val="both"/>
        <w:spacing w:before="100" w:after="100"/>
        <w:ind w:start="360"/>
        <w:ind w:firstLine="360"/>
      </w:pPr>
      <w:r>
        <w:rPr/>
      </w:r>
      <w:r>
        <w:rPr/>
      </w:r>
      <w:r>
        <w:t xml:space="preserve">The department, in consultation with the Supreme Judicial Court and interested parties, shall adopt rules in accordance with </w:t>
      </w:r>
      <w:r>
        <w:t>Title 5, chapter 375</w:t>
      </w:r>
      <w:r>
        <w:t xml:space="preserve">, establishing a child support table that reflects the percentage of combined gross income that parents living in the same household in this State ordinarily spend on their children.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§2011. Child support table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 Child support table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§2011. CHILD SUPPORT TABLE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