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2360-A</w:t>
        <w:t xml:space="preserve">.  </w:t>
      </w:r>
      <w:r>
        <w:rPr>
          <w:b/>
        </w:rPr>
        <w:t xml:space="preserve">Lump-sum settlement; workers' compensation claims</w:t>
      </w:r>
    </w:p>
    <w:p>
      <w:pPr>
        <w:jc w:val="both"/>
        <w:spacing w:before="100" w:after="100"/>
        <w:ind w:start="360"/>
        <w:ind w:firstLine="360"/>
      </w:pPr>
      <w:r>
        <w:rPr/>
      </w:r>
      <w:r>
        <w:rPr/>
      </w:r>
      <w:r>
        <w:t xml:space="preserve">On a monthly basis, the department shall notify the Workers' Compensation Board, referred to in this section as the "board," of the names and social security numbers of all persons who owe the department child support debts that have been liquidated by judicial or administrative action.  Before approving any lump-sum settlement, the board shall determine whether the person receiving the settlement is on the list of persons who owe to the department child support debts that have been liquidated by judicial or administrative action.  If the person is on the list, the board shall notify the department of the pending settlement and inform the person of the notification to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§2360-A. Lump-sum settlement; workers' compensation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§2360-A. Lump-sum settlement; workers' compensation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§2360-A. LUMP-SUM SETTLEMENT; WORKERS' COMPENSATION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