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§2402. Dedicated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Dedicated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§2402. DEDICATED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