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§2652. Provisions of child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Provisions of child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§2652. PROVISIONS OF CHILD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