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2657</w:t>
        <w:t xml:space="preserve">.  </w:t>
      </w:r>
      <w:r>
        <w:rPr>
          <w:b/>
        </w:rPr>
        <w:t xml:space="preserve">Good cause; alternative arrangements</w:t>
      </w:r>
    </w:p>
    <w:p>
      <w:pPr>
        <w:jc w:val="both"/>
        <w:spacing w:before="100" w:after="100"/>
        <w:ind w:start="360"/>
        <w:ind w:firstLine="360"/>
      </w:pPr>
      <w:r>
        <w:rPr/>
      </w:r>
      <w:r>
        <w:rPr/>
      </w:r>
      <w:r>
        <w:t xml:space="preserve">The court may elect not to render a child support order subject to immediate income withholding under this subchapter if:</w:t>
      </w:r>
      <w:r>
        <w:t xml:space="preserve">  </w:t>
      </w:r>
      <w:r xmlns:wp="http://schemas.openxmlformats.org/drawingml/2010/wordprocessingDrawing" xmlns:w15="http://schemas.microsoft.com/office/word/2012/wordml">
        <w:rPr>
          <w:rFonts w:ascii="Arial" w:hAnsi="Arial" w:cs="Arial"/>
          <w:sz w:val="22"/>
          <w:szCs w:val="22"/>
        </w:rPr>
        <w:t xml:space="preserve">[PL 2011, c. 528, §5 (AMD).]</w:t>
      </w:r>
    </w:p>
    <w:p>
      <w:pPr>
        <w:jc w:val="both"/>
        <w:spacing w:before="100" w:after="0"/>
        <w:ind w:start="360"/>
        <w:ind w:firstLine="360"/>
      </w:pPr>
      <w:r>
        <w:rPr>
          <w:b/>
        </w:rPr>
        <w:t>1</w:t>
        <w:t xml:space="preserve">.  </w:t>
      </w:r>
      <w:r>
        <w:rPr>
          <w:b/>
        </w:rPr>
        <w:t xml:space="preserve">Written agreement.</w:t>
        <w:t xml:space="preserve"> </w:t>
      </w:r>
      <w:r>
        <w:t xml:space="preserve"> </w:t>
      </w:r>
      <w:r>
        <w:t xml:space="preserve">A written agreement between the parties providing an alternative arrangement is filed with and approved by the court;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Demonstration of good cause.</w:t>
        <w:t xml:space="preserve"> </w:t>
      </w:r>
      <w:r>
        <w:t xml:space="preserve"> </w:t>
      </w:r>
      <w:r>
        <w:t xml:space="preserve">A party demonstrates and the court finds that there is good cause not to require immediate income withholding.  For purposes of this subsection, a finding of good cause by the court must be based on a determination that immediate income withholding would not be in the best interest of the child and a showing by the responsible parent that any previously ordered support was paid timely.  The court shall explain the basis for a finding of good cause in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§2657. Good cause; alternative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§2657. Good cause; alternative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§2657. GOOD CAUSE; ALTERNATIVE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