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Nonparentage as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§3015. NONPARENTAGE AS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