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Commission established</w:t>
      </w:r>
    </w:p>
    <w:p>
      <w:pPr>
        <w:jc w:val="both"/>
        <w:spacing w:before="100" w:after="100"/>
        <w:ind w:start="360"/>
        <w:ind w:firstLine="360"/>
      </w:pPr>
      <w:r>
        <w:rPr/>
      </w:r>
      <w:r>
        <w:rPr/>
      </w:r>
      <w:r>
        <w:t xml:space="preserve">The Family Law Advisory Commission, established in </w:t>
      </w:r>
      <w:r>
        <w:t>Title 5, section 12004‑I, subsection 52‑A</w:t>
      </w:r>
      <w:r>
        <w:t xml:space="preserve"> and referred to in this chapter as the "commission," is created for the purpose of conducting a continuing study of the family laws of Maine.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