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w:t>
        <w:t xml:space="preserve">.  </w:t>
      </w:r>
      <w:r>
        <w:rPr>
          <w:b/>
        </w:rPr>
        <w:t xml:space="preserve">Consultants; experts</w:t>
      </w:r>
    </w:p>
    <w:p>
      <w:pPr>
        <w:jc w:val="both"/>
        <w:spacing w:before="100" w:after="100"/>
        <w:ind w:start="360"/>
        <w:ind w:firstLine="360"/>
      </w:pPr>
      <w:r>
        <w:rPr/>
      </w:r>
      <w:r>
        <w:rPr/>
      </w:r>
      <w:r>
        <w:t xml:space="preserve">Whenever it considers appropriate, the commission shall seek the advice of consultants or experts, including representatives of the legislative and executive branches of State Government, in fields related to its duties.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§353. Consultants; experts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 Consultants; experts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§353. CONSULTANTS; EXPERTS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