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671, §§1,2 (AMD). PL 2011, c. 265, §1 (AMD). PL 2011, c. 680, §3 (AMD). PL 2019, c. 412, §9 (AMD). PL 2021, c. 293, Pt. A, §22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§4012.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§4012.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