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Other proceedings</w:t>
      </w:r>
    </w:p>
    <w:p>
      <w:pPr>
        <w:jc w:val="both"/>
        <w:spacing w:before="100" w:after="0"/>
        <w:ind w:start="360"/>
        <w:ind w:firstLine="360"/>
      </w:pPr>
      <w:r>
        <w:rPr>
          <w:b/>
        </w:rPr>
        <w:t>1</w:t>
        <w:t xml:space="preserve">.  </w:t>
      </w:r>
      <w:r>
        <w:rPr>
          <w:b/>
        </w:rPr>
        <w:t xml:space="preserve">Uniform Child Custody Jurisdiction and Enforcement Act.</w:t>
        <w:t xml:space="preserve"> </w:t>
      </w:r>
      <w:r>
        <w:t xml:space="preserve"> </w:t>
      </w:r>
      <w:r>
        <w:t xml:space="preserve">The Uniform Child Custody Jurisdiction and Enforcement Act applies to a proceeding under this chapter regardless of whether it is joined with another proceeding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Divorce, dissolution of marriage, legal separation or separate maintenance.</w:t>
        <w:t xml:space="preserve"> </w:t>
      </w:r>
      <w:r>
        <w:t xml:space="preserve"> </w:t>
      </w:r>
      <w:r>
        <w:t xml:space="preserve">All proceedings may be independent of, or joined with, a proceeding for divorce, dissolution of marriage, legal separation or separate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Other remedies and relief.</w:t>
        <w:t xml:space="preserve"> </w:t>
      </w:r>
      <w:r>
        <w:t xml:space="preserve"> </w:t>
      </w:r>
      <w:r>
        <w:t xml:space="preserve">A proceeding under this chapter is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 criminal proceeding required.</w:t>
        <w:t xml:space="preserve"> </w:t>
      </w:r>
      <w:r>
        <w:t xml:space="preserve"> </w:t>
      </w:r>
      <w:r>
        <w:t xml:space="preserve">Relief may be sought under this chapter regardless of whether a criminal prosecution has occurred.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§4105. Other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Other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§4105. OTHER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