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§652. Issuance of marriage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Issuance of marriage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§652. ISSUANCE OF MARRIAGE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