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PRIVATE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jc w:val="center"/>
        <w:ind w:start="360"/>
        <w:spacing w:before="300" w:after="300"/>
      </w:pPr>
      <w:r>
        <w:rPr>
          <w:b/>
        </w:rPr>
        <w:t>SUBCHAPTER</w:t>
        <w:t xml:space="preserve"> </w:t>
        <w:t>2</w:t>
      </w:r>
    </w:p>
    <w:p>
      <w:pPr>
        <w:jc w:val="center"/>
        <w:ind w:start="360"/>
        <w:spacing w:before="300" w:after="300"/>
      </w:pPr>
      <w:r>
        <w:rPr>
          <w:b/>
        </w:rPr>
        <w:t xml:space="preserve">APPROVAL FOR THE RECEIPT OF PUBLIC FUNDS BY PRIVATE SCHOOLS</w:t>
      </w:r>
    </w:p>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jc w:val="center"/>
        <w:ind w:start="360"/>
        <w:spacing w:before="300" w:after="300"/>
      </w:pPr>
      <w:r>
        <w:rPr>
          <w:b/>
        </w:rPr>
        <w:t>SUBCHAPTER</w:t>
        <w:t xml:space="preserve"> </w:t>
        <w:t>3</w:t>
      </w:r>
    </w:p>
    <w:p>
      <w:pPr>
        <w:jc w:val="center"/>
        <w:ind w:start="360"/>
        <w:spacing w:before="300" w:after="300"/>
      </w:pPr>
      <w:r>
        <w:rPr>
          <w:b/>
        </w:rPr>
        <w:t xml:space="preserve">SPECIFIC EDUCATION PROGRAMS</w:t>
      </w:r>
    </w:p>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jc w:val="center"/>
        <w:ind w:start="360"/>
        <w:spacing w:before="300" w:after="300"/>
      </w:pPr>
      <w:r>
        <w:rPr>
          <w:b/>
        </w:rPr>
        <w:t>SUBCHAPTER</w:t>
        <w:t xml:space="preserve"> </w:t>
        <w:t>4</w:t>
      </w:r>
    </w:p>
    <w:p>
      <w:pPr>
        <w:jc w:val="center"/>
        <w:ind w:start="360"/>
        <w:spacing w:before="300" w:after="300"/>
      </w:pPr>
      <w:r>
        <w:rPr>
          <w:b/>
        </w:rPr>
        <w:t xml:space="preserve">PRIVATE SCHOOLS SERVING NONRESIDENTS</w:t>
      </w:r>
    </w:p>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jc w:val="center"/>
        <w:ind w:start="360"/>
        <w:spacing w:before="300" w:after="300"/>
      </w:pPr>
      <w:r>
        <w:rPr>
          <w:b/>
        </w:rPr>
        <w:t>SUBCHAPTER</w:t>
        <w:t xml:space="preserve"> </w:t>
        <w:t>5</w:t>
      </w:r>
    </w:p>
    <w:p>
      <w:pPr>
        <w:jc w:val="center"/>
        <w:ind w:start="360"/>
        <w:spacing w:before="300" w:after="300"/>
      </w:pPr>
      <w:r>
        <w:rPr>
          <w:b/>
        </w:rPr>
        <w:t xml:space="preserve">PUBLICLY SUPPORTED PRIVATE SECONDARY SCHOOL ADVISORY COUNCIL</w:t>
      </w:r>
    </w:p>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117.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117.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